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附件3：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2021年内蒙古创新方法大赛决赛比赛规则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内蒙古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创新方法大赛决赛（以下简称“决赛”）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形式</w:t>
      </w:r>
      <w:r>
        <w:rPr>
          <w:rFonts w:hint="eastAsia" w:ascii="仿宋_GB2312" w:hAnsi="仿宋_GB2312" w:eastAsia="仿宋_GB2312" w:cs="仿宋_GB2312"/>
          <w:sz w:val="32"/>
          <w:szCs w:val="32"/>
        </w:rPr>
        <w:t>为项目展示，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支参赛队参加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为确保赛事科学规范有序及公平公正公开，特制订比赛规则如下：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参赛队分组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参赛队（也称“项目”）按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项目编号</w:t>
      </w:r>
      <w:r>
        <w:rPr>
          <w:rFonts w:hint="eastAsia" w:ascii="仿宋_GB2312" w:hAnsi="仿宋_GB2312" w:eastAsia="仿宋_GB2312" w:cs="仿宋_GB2312"/>
          <w:sz w:val="32"/>
          <w:szCs w:val="32"/>
        </w:rPr>
        <w:t>先后顺序通过抽签的方式分为A、B、C、D 组。抽签产生的竞赛编号即为参赛队的唯一编号，决定参赛队所在的分组和在该组中的项目展示顺序。竞赛编号由字母和数字组成，如编号“A01”，第一位字母表示参赛队所在分组，后面两位数字表示参赛队在该组中的顺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A、B、C、D 四个组， 一、二、三等奖和优胜奖的奖项数量分别为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个、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个、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个和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个。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项目展示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参赛选手以口头陈述的形式介绍所展示项目的内容，可配合演示文稿及实物。每个项目展示时长为 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分钟，其中口头陈述时间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分钟，专家问询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分钟。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展示规则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各参赛队须按抽签分组编号决定的出场顺序，提前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</w:t>
      </w:r>
      <w:r>
        <w:rPr>
          <w:rFonts w:hint="eastAsia" w:ascii="仿宋_GB2312" w:hAnsi="仿宋_GB2312" w:eastAsia="仿宋_GB2312" w:cs="仿宋_GB2312"/>
          <w:sz w:val="32"/>
          <w:szCs w:val="32"/>
        </w:rPr>
        <w:t>答辩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准备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。各参赛队在陈述、答辩过程中须严格控制时间。现场设计时器，并有工作人员提示结束项目陈述、答辩。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参赛队须严格遵守比赛时间及进度安排，如因技术原因导致参赛队不能按时参赛或比赛中断，如该项目参赛时间为上午，参赛时间调整至当日上午其他项目答辩结束后，如该项目参赛时间为下午，参赛时间调整至当日下午其他项目答辩结束后，如该项目仍无法按时参赛，其成绩按照零分处理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计分规则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位评委分别按百分制给出分数。每支参赛队得分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三个得分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，小数点保留后2位。  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评审标准与程序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评审标准：</w:t>
      </w:r>
    </w:p>
    <w:tbl>
      <w:tblPr>
        <w:tblStyle w:val="6"/>
        <w:tblW w:w="9680" w:type="dxa"/>
        <w:jc w:val="center"/>
        <w:tblInd w:w="-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2186"/>
        <w:gridCol w:w="885"/>
        <w:gridCol w:w="4380"/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771" w:type="dxa"/>
            <w:shd w:val="clear" w:color="auto" w:fill="AEAAAA" w:themeFill="background2" w:themeFillShade="B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86" w:type="dxa"/>
            <w:shd w:val="clear" w:color="auto" w:fill="AEAAAA" w:themeFill="background2" w:themeFillShade="B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评审项</w:t>
            </w:r>
          </w:p>
        </w:tc>
        <w:tc>
          <w:tcPr>
            <w:tcW w:w="885" w:type="dxa"/>
            <w:shd w:val="clear" w:color="auto" w:fill="AEAAAA" w:themeFill="background2" w:themeFillShade="B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4380" w:type="dxa"/>
            <w:shd w:val="clear" w:color="auto" w:fill="AEAAAA" w:themeFill="background2" w:themeFillShade="B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评审标准</w:t>
            </w:r>
          </w:p>
        </w:tc>
        <w:tc>
          <w:tcPr>
            <w:tcW w:w="1458" w:type="dxa"/>
            <w:shd w:val="clear" w:color="auto" w:fill="AEAAAA" w:themeFill="background2" w:themeFillShade="B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分数范围</w:t>
            </w:r>
            <w:r>
              <w:rPr>
                <w:rFonts w:hint="eastAsia" w:asciiTheme="minorEastAsia" w:hAnsiTheme="minorEastAsia" w:cstheme="minorEastAsia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取整数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7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问题创新难度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与创新等级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4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属于行业重大难题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8-10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属于行业一般难题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6-7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属于企业内部难题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4-5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7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1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创新方法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应用程度    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应用水平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0分</w:t>
            </w:r>
          </w:p>
        </w:tc>
        <w:tc>
          <w:tcPr>
            <w:tcW w:w="4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多方法融会贯通，应用巧妙，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吻合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度高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24-30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77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创新方法综合应用，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吻合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度较高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16-23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77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创新方法简单应用，有一定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吻合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度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10-15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7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1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方案可实施性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20分</w:t>
            </w:r>
          </w:p>
        </w:tc>
        <w:tc>
          <w:tcPr>
            <w:tcW w:w="4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可实施性强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17-20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4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可实施性一般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12-16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4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可实施性弱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8-11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7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1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实际/预测应用效果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与效益（分类）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0分</w:t>
            </w:r>
          </w:p>
        </w:tc>
        <w:tc>
          <w:tcPr>
            <w:tcW w:w="4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问题解决理想度高，经济社会效益好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8-10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改进较大，效益较好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6-7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改进一般，效益一般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4-5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7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创新成果第三方评价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以现场展示为准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10分</w:t>
            </w:r>
          </w:p>
        </w:tc>
        <w:tc>
          <w:tcPr>
            <w:tcW w:w="4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取得国家级奖励，或有发明专利及布局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8-10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77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取得省级奖励，或有发明专利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6-7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77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密切相关成果有奖励，或有专利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4-5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7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1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现场展示及答辩情况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0分</w:t>
            </w:r>
          </w:p>
        </w:tc>
        <w:tc>
          <w:tcPr>
            <w:tcW w:w="4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充分展现创新方法掌握与应用水平高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17-20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77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作品引人关注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12-16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1" w:type="dxa"/>
            <w:vMerge w:val="continue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1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0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作品体现解决问题</w:t>
            </w:r>
          </w:p>
        </w:tc>
        <w:tc>
          <w:tcPr>
            <w:tcW w:w="1458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8-11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程序规则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各参赛队于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晚上18:00-19:00</w:t>
      </w:r>
      <w:r>
        <w:rPr>
          <w:rFonts w:hint="eastAsia" w:ascii="仿宋_GB2312" w:hAnsi="仿宋_GB2312" w:eastAsia="仿宋_GB2312" w:cs="仿宋_GB2312"/>
          <w:sz w:val="32"/>
          <w:szCs w:val="32"/>
        </w:rPr>
        <w:t>按抽签方式分成 A、B、C、D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个组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须公证员和工作人员在场公证和记录。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大赛组委会办公室于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日8:00 组织评审专家进行随机抽签分组，对应分为 A、B、C、D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个评审组，每组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位评审专家。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抽签须公证员和工作人员在场公证和记录。</w:t>
      </w:r>
      <w:r>
        <w:rPr>
          <w:rFonts w:hint="eastAsia" w:ascii="仿宋_GB2312" w:hAnsi="仿宋_GB2312" w:eastAsia="仿宋_GB2312" w:cs="仿宋_GB2312"/>
          <w:sz w:val="32"/>
          <w:szCs w:val="32"/>
        </w:rPr>
        <w:t>每组由组委会指定或本组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人公推一名组长，负责主持本组的评审工作。 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各评审专家在评审过程中严格控制时间，杜绝超时问询。 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评审专家严格依据《评审标准》，独立给出每个项目得分，互不协商，避免因个人主观因素及受他人观点影响导致项目评审工作存疑。 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各评审专家根据每个项目的实际情况综合填写《评委打分表》并签字确认后，由现场工作人员统一收取。 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现场工作人员核实每个项目的《评委打分表》，交由大赛组委会核分小组进行录入统计。每个项目得分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sz w:val="32"/>
          <w:szCs w:val="32"/>
        </w:rPr>
        <w:t>个项目展示结束后，由核分小组工作人员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填写至门口的成绩表进行公布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项目展示过程全程摄像，将作为大赛影视资料档案交组委会留存备案。 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专家应与组委会签署项目评审承诺书，按照项目评审标准的要求，独立、客观、公正地对参赛项目进行评审。 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计分原则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大赛以每份《评委打分表》的总分为依据，按照每个项目三个总分求平均值（四舍五入保留小数点后两位，下同）获得该项目在展示环节的最终得分。 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如果出现某组第 2 名总得分与第 3 名总得分并列相同的情况时，在公证人员的监督下由组委会进行抽签决定晋级电视擂台赛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和一等奖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如果出现同一组第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名总得分与第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名总得分并列相同的情况时，在公证人员的监督下由组委会进行抽签决定晋级二等奖。 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如果出现同一组第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名总得分与第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名总得分并列相同的情况时，在公证人员的监督下由组委会进行抽签决定晋级三等奖。 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公示成绩时以每组项目分数从高到低进行排名，选手不能因 A、B、C、D不同组别之间同一获奖档次的项目存在分数差异而提出异议或申诉。 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本次大赛的分组抽签、项目展示及电视擂台赛等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中涉及到公证的环节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由内蒙古科协机关纪委人员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进行现场公证。 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违规处理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为严肃比赛纪律，保证比赛进程的公开、公平、公正，对违反比赛纪律的人员将做出如下处理： 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发现参赛选手弄虚作假的，报经大赛组委会核实后，取消该选手比赛资格；已获奖者取消其获奖资格，责令其退回所获证书（奖杯、奖牌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证书等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）。该选手所在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不得参评优秀组织奖。 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参赛选手有下列情节之一的，比赛成绩计零分： 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各竞赛环节出现作弊行为的。 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各竞赛环节未按时入场或中途擅自离开的。 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各竞赛环节比赛过程中使用通讯工具与他人联系的。 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扰乱赛场秩序，影响比赛进程，情节严重的。 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其他违反比赛规则且不听劝告的。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3.对违反比赛纪律的各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，将给予警告批评。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397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C4650"/>
    <w:multiLevelType w:val="singleLevel"/>
    <w:tmpl w:val="614C4650"/>
    <w:lvl w:ilvl="0" w:tentative="0">
      <w:start w:val="1"/>
      <w:numFmt w:val="chineseCounting"/>
      <w:suff w:val="nothing"/>
      <w:lvlText w:val="（%1）"/>
      <w:lvlJc w:val="left"/>
    </w:lvl>
  </w:abstractNum>
  <w:abstractNum w:abstractNumId="1">
    <w:nsid w:val="614D2609"/>
    <w:multiLevelType w:val="singleLevel"/>
    <w:tmpl w:val="614D2609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614D26BC"/>
    <w:multiLevelType w:val="singleLevel"/>
    <w:tmpl w:val="614D26BC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614D26F8"/>
    <w:multiLevelType w:val="singleLevel"/>
    <w:tmpl w:val="614D26F8"/>
    <w:lvl w:ilvl="0" w:tentative="0">
      <w:start w:val="2"/>
      <w:numFmt w:val="decimal"/>
      <w:suff w:val="nothing"/>
      <w:lvlText w:val="%1."/>
      <w:lvlJc w:val="left"/>
    </w:lvl>
  </w:abstractNum>
  <w:abstractNum w:abstractNumId="4">
    <w:nsid w:val="614D27E1"/>
    <w:multiLevelType w:val="singleLevel"/>
    <w:tmpl w:val="614D27E1"/>
    <w:lvl w:ilvl="0" w:tentative="0">
      <w:start w:val="4"/>
      <w:numFmt w:val="chineseCounting"/>
      <w:suff w:val="nothing"/>
      <w:lvlText w:val="（%1）"/>
      <w:lvlJc w:val="left"/>
    </w:lvl>
  </w:abstractNum>
  <w:abstractNum w:abstractNumId="5">
    <w:nsid w:val="614D28B7"/>
    <w:multiLevelType w:val="singleLevel"/>
    <w:tmpl w:val="614D28B7"/>
    <w:lvl w:ilvl="0" w:tentative="0">
      <w:start w:val="1"/>
      <w:numFmt w:val="decimal"/>
      <w:suff w:val="nothing"/>
      <w:lvlText w:val="（%1）"/>
      <w:lvlJc w:val="left"/>
    </w:lvl>
  </w:abstractNum>
  <w:abstractNum w:abstractNumId="6">
    <w:nsid w:val="614D2B03"/>
    <w:multiLevelType w:val="singleLevel"/>
    <w:tmpl w:val="614D2B03"/>
    <w:lvl w:ilvl="0" w:tentative="0">
      <w:start w:val="3"/>
      <w:numFmt w:val="decimal"/>
      <w:suff w:val="nothing"/>
      <w:lvlText w:val="%1."/>
      <w:lvlJc w:val="left"/>
    </w:lvl>
  </w:abstractNum>
  <w:abstractNum w:abstractNumId="7">
    <w:nsid w:val="614D2B2F"/>
    <w:multiLevelType w:val="singleLevel"/>
    <w:tmpl w:val="614D2B2F"/>
    <w:lvl w:ilvl="0" w:tentative="0">
      <w:start w:val="1"/>
      <w:numFmt w:val="decimal"/>
      <w:suff w:val="nothing"/>
      <w:lvlText w:val="（%1）"/>
      <w:lvlJc w:val="left"/>
    </w:lvl>
  </w:abstractNum>
  <w:abstractNum w:abstractNumId="8">
    <w:nsid w:val="614D2DAF"/>
    <w:multiLevelType w:val="singleLevel"/>
    <w:tmpl w:val="614D2DAF"/>
    <w:lvl w:ilvl="0" w:tentative="0">
      <w:start w:val="6"/>
      <w:numFmt w:val="chineseCounting"/>
      <w:suff w:val="nothing"/>
      <w:lvlText w:val="（%1）"/>
      <w:lvlJc w:val="left"/>
    </w:lvl>
  </w:abstractNum>
  <w:abstractNum w:abstractNumId="9">
    <w:nsid w:val="614D2DF5"/>
    <w:multiLevelType w:val="singleLevel"/>
    <w:tmpl w:val="614D2DF5"/>
    <w:lvl w:ilvl="0" w:tentative="0">
      <w:start w:val="1"/>
      <w:numFmt w:val="decimal"/>
      <w:suff w:val="nothing"/>
      <w:lvlText w:val="%1."/>
      <w:lvlJc w:val="left"/>
    </w:lvl>
  </w:abstractNum>
  <w:abstractNum w:abstractNumId="10">
    <w:nsid w:val="614D2E0A"/>
    <w:multiLevelType w:val="singleLevel"/>
    <w:tmpl w:val="614D2E0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B12D3"/>
    <w:rsid w:val="0072104E"/>
    <w:rsid w:val="021B4C51"/>
    <w:rsid w:val="04C36041"/>
    <w:rsid w:val="05C20D9B"/>
    <w:rsid w:val="06D74B67"/>
    <w:rsid w:val="08A423A5"/>
    <w:rsid w:val="0B2100AC"/>
    <w:rsid w:val="0B9C159C"/>
    <w:rsid w:val="0C737E71"/>
    <w:rsid w:val="0EC63C70"/>
    <w:rsid w:val="0FD8466C"/>
    <w:rsid w:val="11940A40"/>
    <w:rsid w:val="11AA0CE7"/>
    <w:rsid w:val="198D06DE"/>
    <w:rsid w:val="1B9C2B89"/>
    <w:rsid w:val="1BEE282E"/>
    <w:rsid w:val="1C091F4A"/>
    <w:rsid w:val="1C3F3DB1"/>
    <w:rsid w:val="1F3A19BD"/>
    <w:rsid w:val="223A0681"/>
    <w:rsid w:val="25571ED6"/>
    <w:rsid w:val="26575E8C"/>
    <w:rsid w:val="2841155B"/>
    <w:rsid w:val="29C3287A"/>
    <w:rsid w:val="2CB12924"/>
    <w:rsid w:val="2E1F4296"/>
    <w:rsid w:val="2E320D46"/>
    <w:rsid w:val="301F0DC2"/>
    <w:rsid w:val="33713745"/>
    <w:rsid w:val="3A3C66D8"/>
    <w:rsid w:val="3E1B5C3A"/>
    <w:rsid w:val="3EE111D0"/>
    <w:rsid w:val="3F9C50FB"/>
    <w:rsid w:val="3FB67948"/>
    <w:rsid w:val="3FC7629C"/>
    <w:rsid w:val="41F42382"/>
    <w:rsid w:val="43050837"/>
    <w:rsid w:val="444B2E4C"/>
    <w:rsid w:val="45FB0655"/>
    <w:rsid w:val="4A980E9E"/>
    <w:rsid w:val="4B2D2076"/>
    <w:rsid w:val="4F5C3227"/>
    <w:rsid w:val="523B12D3"/>
    <w:rsid w:val="54357DF9"/>
    <w:rsid w:val="543D674D"/>
    <w:rsid w:val="555933A0"/>
    <w:rsid w:val="55C52ED9"/>
    <w:rsid w:val="579509C8"/>
    <w:rsid w:val="586A0EFE"/>
    <w:rsid w:val="591F60F8"/>
    <w:rsid w:val="592B2684"/>
    <w:rsid w:val="5E4B34C5"/>
    <w:rsid w:val="5E8D6A87"/>
    <w:rsid w:val="608F16D5"/>
    <w:rsid w:val="638E0653"/>
    <w:rsid w:val="63A7514C"/>
    <w:rsid w:val="6454782A"/>
    <w:rsid w:val="650F6645"/>
    <w:rsid w:val="665415CE"/>
    <w:rsid w:val="66646858"/>
    <w:rsid w:val="6D903F00"/>
    <w:rsid w:val="6E0E639C"/>
    <w:rsid w:val="702340E7"/>
    <w:rsid w:val="718C58D9"/>
    <w:rsid w:val="7262729C"/>
    <w:rsid w:val="728F5D3D"/>
    <w:rsid w:val="76544F93"/>
    <w:rsid w:val="765F1398"/>
    <w:rsid w:val="769A49AA"/>
    <w:rsid w:val="78836B50"/>
    <w:rsid w:val="78D51505"/>
    <w:rsid w:val="79DA0A65"/>
    <w:rsid w:val="7A083F1B"/>
    <w:rsid w:val="7D8D0200"/>
    <w:rsid w:val="7D985E42"/>
    <w:rsid w:val="7E497C50"/>
    <w:rsid w:val="7EFA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9553</Words>
  <Characters>10754</Characters>
  <Lines>0</Lines>
  <Paragraphs>0</Paragraphs>
  <TotalTime>17</TotalTime>
  <ScaleCrop>false</ScaleCrop>
  <LinksUpToDate>false</LinksUpToDate>
  <CharactersWithSpaces>11768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2021-09-23T03:17:00Z</dcterms:created>
  <dc:creator>admin</dc:creator>
  <cp:lastModifiedBy>admin</cp:lastModifiedBy>
  <cp:lastPrinted>2021-09-24T02:32:00Z</cp:lastPrinted>
  <dcterms:modified xsi:type="dcterms:W3CDTF">2021-09-24T09:05:08Z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